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4E2DA">
      <w:pPr>
        <w:jc w:val="both"/>
        <w:rPr>
          <w:rFonts w:ascii="Arial" w:hAnsi="Arial" w:cs="Arial"/>
          <w:b/>
          <w:sz w:val="20"/>
          <w:szCs w:val="24"/>
        </w:rPr>
      </w:pPr>
    </w:p>
    <w:p w14:paraId="6457ECE3">
      <w:pPr>
        <w:jc w:val="both"/>
        <w:rPr>
          <w:rFonts w:ascii="Arial" w:hAnsi="Arial" w:cs="Arial"/>
          <w:b/>
          <w:sz w:val="20"/>
          <w:szCs w:val="24"/>
          <w:u w:val="single"/>
        </w:rPr>
      </w:pPr>
      <w:r>
        <w:rPr>
          <w:rFonts w:ascii="Arial" w:hAnsi="Arial" w:cs="Arial"/>
          <w:b/>
          <w:sz w:val="20"/>
          <w:szCs w:val="24"/>
        </w:rPr>
        <w:t xml:space="preserve">DIRECCION, SUBDIRECCIÓN O UNIDAD: </w:t>
      </w:r>
      <w:r>
        <w:rPr>
          <w:rFonts w:ascii="Arial" w:hAnsi="Arial" w:cs="Arial"/>
          <w:b/>
          <w:sz w:val="20"/>
          <w:szCs w:val="24"/>
          <w:u w:val="single"/>
        </w:rPr>
        <w:t>DIRECCIÓN DE CULTURA</w:t>
      </w:r>
      <w:r>
        <w:rPr>
          <w:rFonts w:ascii="Arial" w:hAnsi="Arial" w:cs="Arial"/>
          <w:b/>
          <w:sz w:val="20"/>
          <w:szCs w:val="24"/>
        </w:rPr>
        <w:t>.</w:t>
      </w:r>
    </w:p>
    <w:p w14:paraId="38029A1E">
      <w:pPr>
        <w:jc w:val="both"/>
        <w:rPr>
          <w:rFonts w:ascii="Arial" w:hAnsi="Arial" w:cs="Arial"/>
          <w:b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 xml:space="preserve">DIRECTOR, TITULAR O RESPONSABLE DE LA DEPENDENCIA: </w:t>
      </w:r>
      <w:r>
        <w:rPr>
          <w:rFonts w:ascii="Arial" w:hAnsi="Arial" w:cs="Arial"/>
          <w:b/>
          <w:sz w:val="20"/>
          <w:szCs w:val="24"/>
          <w:u w:val="single"/>
        </w:rPr>
        <w:t>L.E. CRUZ DAVID CHAN MARTINEZ</w:t>
      </w:r>
      <w:r>
        <w:rPr>
          <w:rFonts w:ascii="Arial" w:hAnsi="Arial" w:cs="Arial"/>
          <w:b/>
          <w:sz w:val="20"/>
          <w:szCs w:val="24"/>
        </w:rPr>
        <w:t>.</w:t>
      </w:r>
    </w:p>
    <w:tbl>
      <w:tblPr>
        <w:tblStyle w:val="7"/>
        <w:tblW w:w="134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2E75B5" w:themeFill="accent1" w:themeFillShade="B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2"/>
      </w:tblGrid>
      <w:tr w14:paraId="231DF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2E75B5" w:themeFill="accent1" w:themeFillShade="BF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62" w:type="dxa"/>
            <w:shd w:val="clear" w:color="auto" w:fill="2E75B5" w:themeFill="accent1" w:themeFillShade="BF"/>
          </w:tcPr>
          <w:p w14:paraId="3CCD47E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  <w:p w14:paraId="6F1C4E2A">
            <w:pPr>
              <w:spacing w:after="0" w:line="240" w:lineRule="auto"/>
              <w:jc w:val="center"/>
              <w:rPr>
                <w:rFonts w:hint="default" w:ascii="Arial" w:hAnsi="Arial" w:cs="Arial"/>
                <w:b/>
                <w:color w:val="FFFFFF" w:themeColor="background1"/>
                <w:sz w:val="24"/>
                <w:szCs w:val="24"/>
                <w:lang w:val="es-MX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INFORME CORRESPONDIENTE AL MES DE</w:t>
            </w:r>
            <w:r>
              <w:rPr>
                <w:rFonts w:hint="default" w:ascii="Arial" w:hAnsi="Arial" w:cs="Arial"/>
                <w:b/>
                <w:color w:val="FFFFFF" w:themeColor="background1"/>
                <w:sz w:val="24"/>
                <w:szCs w:val="24"/>
                <w:lang w:val="es-MX"/>
                <w14:textFill>
                  <w14:solidFill>
                    <w14:schemeClr w14:val="bg1"/>
                  </w14:solidFill>
                </w14:textFill>
              </w:rPr>
              <w:t xml:space="preserve"> FEBRERO</w:t>
            </w: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 xml:space="preserve"> DE 202</w:t>
            </w:r>
            <w:r>
              <w:rPr>
                <w:rFonts w:hint="default" w:ascii="Arial" w:hAnsi="Arial" w:cs="Arial"/>
                <w:b/>
                <w:color w:val="FFFFFF" w:themeColor="background1"/>
                <w:sz w:val="24"/>
                <w:szCs w:val="24"/>
                <w:lang w:val="es-MX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  <w:p w14:paraId="6D66034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 w14:paraId="5A418727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7"/>
        <w:tblW w:w="134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2"/>
      </w:tblGrid>
      <w:tr w14:paraId="5FE52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462" w:type="dxa"/>
            <w:shd w:val="clear" w:color="auto" w:fill="2E75B5" w:themeFill="accent1" w:themeFillShade="BF"/>
          </w:tcPr>
          <w:p w14:paraId="0314A41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ASUNTOS ATENDIDOS</w:t>
            </w:r>
          </w:p>
        </w:tc>
      </w:tr>
      <w:tr w14:paraId="22AB6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462" w:type="dxa"/>
          </w:tcPr>
          <w:p w14:paraId="40690E73">
            <w:pPr>
              <w:pStyle w:val="8"/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524EF8E"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 le proporcionó el espacio a la Mtra. Kyong para dar clases de Yoga a personas adultas en el área del Lobby de la Casa de la Cultura. Beneficiando a 12 personas.</w:t>
            </w:r>
          </w:p>
          <w:p w14:paraId="1C375884"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 le proporcionó el espacio del Corredor de la Casa de la Cultura al sindicato Nacional de trabajadores de la Educación para llevar su asamblea mensual.</w:t>
            </w:r>
          </w:p>
          <w:p w14:paraId="1046EA8F"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Se le proporcionó el salón B a la Dirección de Turismo para llevar a cabo una junta para concesionarios</w:t>
            </w:r>
            <w:r>
              <w:rPr>
                <w:rFonts w:hint="default" w:ascii="Arial" w:hAnsi="Arial" w:cs="Arial"/>
                <w:b/>
                <w:sz w:val="24"/>
                <w:szCs w:val="24"/>
                <w:lang w:val="es-MX"/>
              </w:rPr>
              <w:t>, masajistas y zona Federal beneficiando a más de 200 personas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14:paraId="345EFCB8"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hint="default" w:ascii="Arial" w:hAnsi="Arial" w:cs="Arial"/>
                <w:b/>
                <w:sz w:val="24"/>
                <w:szCs w:val="24"/>
                <w:lang w:val="es-MX"/>
              </w:rPr>
              <w:t>Se les presto las instalaciones de la Casa de la Cultura a la Coronación del Baile Femenil Del albergue San Joaquin teniendo una afluencia de más de 800personas.</w:t>
            </w:r>
          </w:p>
          <w:p w14:paraId="4E32AF1D"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hint="default" w:ascii="Arial" w:hAnsi="Arial" w:cs="Arial"/>
                <w:b/>
                <w:sz w:val="24"/>
                <w:szCs w:val="24"/>
                <w:lang w:val="es-MX"/>
              </w:rPr>
              <w:t xml:space="preserve">Se les proporciono las instalaciones de la Casa de la Cultura a la Cruz Roja para llevar a cabo la Coronación de su reyna. </w:t>
            </w:r>
          </w:p>
          <w:p w14:paraId="141096AB"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hint="default"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hint="default" w:ascii="Arial" w:hAnsi="Arial" w:cs="Arial"/>
                <w:b/>
                <w:sz w:val="24"/>
                <w:szCs w:val="24"/>
                <w:lang w:val="es-MX"/>
              </w:rPr>
              <w:t>Se le presto las instalaciónes de la Casa de la Cultura para llevar a cabo la coronación de los  Reyesdel Carnaval de la P</w:t>
            </w:r>
            <w:r>
              <w:rPr>
                <w:rFonts w:hint="default" w:ascii="Arial" w:hAnsi="Arial" w:eastAsia="Helvetica" w:cs="Arial"/>
                <w:b/>
                <w:bCs/>
                <w:i w:val="0"/>
                <w:iCs w:val="0"/>
                <w:color w:val="111111"/>
                <w:spacing w:val="0"/>
                <w:sz w:val="24"/>
                <w:szCs w:val="24"/>
                <w:shd w:val="clear" w:fill="FFFFFF"/>
              </w:rPr>
              <w:t xml:space="preserve">arroquia de </w:t>
            </w:r>
            <w:r>
              <w:rPr>
                <w:rFonts w:hint="default" w:ascii="Arial" w:hAnsi="Arial" w:eastAsia="Helvetica" w:cs="Arial"/>
                <w:b/>
                <w:bCs/>
                <w:i w:val="0"/>
                <w:iCs w:val="0"/>
                <w:color w:val="111111"/>
                <w:spacing w:val="0"/>
                <w:sz w:val="24"/>
                <w:szCs w:val="24"/>
                <w:shd w:val="clear" w:fill="FFFFFF"/>
                <w:lang w:val="es-MX"/>
              </w:rPr>
              <w:t>N</w:t>
            </w:r>
            <w:r>
              <w:rPr>
                <w:rFonts w:hint="default" w:ascii="Arial" w:hAnsi="Arial" w:eastAsia="Helvetica" w:cs="Arial"/>
                <w:b/>
                <w:bCs/>
                <w:i w:val="0"/>
                <w:iCs w:val="0"/>
                <w:color w:val="111111"/>
                <w:spacing w:val="0"/>
                <w:sz w:val="24"/>
                <w:szCs w:val="24"/>
                <w:shd w:val="clear" w:fill="FFFFFF"/>
              </w:rPr>
              <w:t xml:space="preserve">uestra </w:t>
            </w:r>
            <w:r>
              <w:rPr>
                <w:rFonts w:hint="default" w:ascii="Arial" w:hAnsi="Arial" w:eastAsia="Helvetica" w:cs="Arial"/>
                <w:b/>
                <w:bCs/>
                <w:i w:val="0"/>
                <w:iCs w:val="0"/>
                <w:color w:val="111111"/>
                <w:spacing w:val="0"/>
                <w:sz w:val="24"/>
                <w:szCs w:val="24"/>
                <w:shd w:val="clear" w:fill="FFFFFF"/>
                <w:lang w:val="es-MX"/>
              </w:rPr>
              <w:t>S</w:t>
            </w:r>
            <w:r>
              <w:rPr>
                <w:rFonts w:hint="default" w:ascii="Arial" w:hAnsi="Arial" w:eastAsia="Helvetica" w:cs="Arial"/>
                <w:b/>
                <w:bCs/>
                <w:i w:val="0"/>
                <w:iCs w:val="0"/>
                <w:color w:val="111111"/>
                <w:spacing w:val="0"/>
                <w:sz w:val="24"/>
                <w:szCs w:val="24"/>
                <w:shd w:val="clear" w:fill="FFFFFF"/>
              </w:rPr>
              <w:t xml:space="preserve">eñora de la </w:t>
            </w:r>
            <w:r>
              <w:rPr>
                <w:rFonts w:hint="default" w:ascii="Arial" w:hAnsi="Arial" w:eastAsia="Helvetica" w:cs="Arial"/>
                <w:b/>
                <w:bCs/>
                <w:i w:val="0"/>
                <w:iCs w:val="0"/>
                <w:color w:val="111111"/>
                <w:spacing w:val="0"/>
                <w:sz w:val="24"/>
                <w:szCs w:val="24"/>
                <w:shd w:val="clear" w:fill="FFFFFF"/>
                <w:lang w:val="es-MX"/>
              </w:rPr>
              <w:t>M</w:t>
            </w:r>
            <w:r>
              <w:rPr>
                <w:rFonts w:hint="default" w:ascii="Arial" w:hAnsi="Arial" w:eastAsia="Helvetica" w:cs="Arial"/>
                <w:b/>
                <w:bCs/>
                <w:i w:val="0"/>
                <w:iCs w:val="0"/>
                <w:color w:val="111111"/>
                <w:spacing w:val="0"/>
                <w:sz w:val="24"/>
                <w:szCs w:val="24"/>
                <w:shd w:val="clear" w:fill="FFFFFF"/>
              </w:rPr>
              <w:t xml:space="preserve">edalla </w:t>
            </w:r>
            <w:r>
              <w:rPr>
                <w:rFonts w:hint="default" w:ascii="Arial" w:hAnsi="Arial" w:eastAsia="Helvetica" w:cs="Arial"/>
                <w:b/>
                <w:bCs/>
                <w:i w:val="0"/>
                <w:iCs w:val="0"/>
                <w:color w:val="111111"/>
                <w:spacing w:val="0"/>
                <w:sz w:val="24"/>
                <w:szCs w:val="24"/>
                <w:shd w:val="clear" w:fill="FFFFFF"/>
                <w:lang w:val="es-MX"/>
              </w:rPr>
              <w:t>M</w:t>
            </w:r>
            <w:r>
              <w:rPr>
                <w:rFonts w:hint="default" w:ascii="Arial" w:hAnsi="Arial" w:eastAsia="Helvetica" w:cs="Arial"/>
                <w:b/>
                <w:bCs/>
                <w:i w:val="0"/>
                <w:iCs w:val="0"/>
                <w:color w:val="111111"/>
                <w:spacing w:val="0"/>
                <w:sz w:val="24"/>
                <w:szCs w:val="24"/>
                <w:shd w:val="clear" w:fill="FFFFFF"/>
              </w:rPr>
              <w:t xml:space="preserve">ilagrosa y </w:t>
            </w:r>
            <w:r>
              <w:rPr>
                <w:rFonts w:hint="default" w:ascii="Arial" w:hAnsi="Arial" w:eastAsia="Helvetica" w:cs="Arial"/>
                <w:b/>
                <w:bCs/>
                <w:i w:val="0"/>
                <w:iCs w:val="0"/>
                <w:color w:val="111111"/>
                <w:spacing w:val="0"/>
                <w:sz w:val="24"/>
                <w:szCs w:val="24"/>
                <w:shd w:val="clear" w:fill="FFFFFF"/>
                <w:lang w:val="es-MX"/>
              </w:rPr>
              <w:t>S</w:t>
            </w:r>
            <w:r>
              <w:rPr>
                <w:rFonts w:hint="default" w:ascii="Arial" w:hAnsi="Arial" w:eastAsia="Helvetica" w:cs="Arial"/>
                <w:b/>
                <w:bCs/>
                <w:i w:val="0"/>
                <w:iCs w:val="0"/>
                <w:color w:val="111111"/>
                <w:spacing w:val="0"/>
                <w:sz w:val="24"/>
                <w:szCs w:val="24"/>
                <w:shd w:val="clear" w:fill="FFFFFF"/>
              </w:rPr>
              <w:t xml:space="preserve">an </w:t>
            </w:r>
            <w:r>
              <w:rPr>
                <w:rFonts w:hint="default" w:ascii="Arial" w:hAnsi="Arial" w:eastAsia="Helvetica" w:cs="Arial"/>
                <w:b/>
                <w:bCs/>
                <w:i w:val="0"/>
                <w:iCs w:val="0"/>
                <w:color w:val="111111"/>
                <w:spacing w:val="0"/>
                <w:sz w:val="24"/>
                <w:szCs w:val="24"/>
                <w:shd w:val="clear" w:fill="FFFFFF"/>
                <w:lang w:val="es-MX"/>
              </w:rPr>
              <w:t>T</w:t>
            </w:r>
            <w:r>
              <w:rPr>
                <w:rFonts w:hint="default" w:ascii="Arial" w:hAnsi="Arial" w:eastAsia="Helvetica" w:cs="Arial"/>
                <w:b/>
                <w:bCs/>
                <w:i w:val="0"/>
                <w:iCs w:val="0"/>
                <w:color w:val="111111"/>
                <w:spacing w:val="0"/>
                <w:sz w:val="24"/>
                <w:szCs w:val="24"/>
                <w:shd w:val="clear" w:fill="FFFFFF"/>
              </w:rPr>
              <w:t>elmo</w:t>
            </w:r>
            <w:r>
              <w:rPr>
                <w:rFonts w:hint="default" w:ascii="Arial" w:hAnsi="Arial" w:eastAsia="Helvetica" w:cs="Arial"/>
                <w:b/>
                <w:bCs/>
                <w:i w:val="0"/>
                <w:iCs w:val="0"/>
                <w:color w:val="111111"/>
                <w:spacing w:val="0"/>
                <w:sz w:val="24"/>
                <w:szCs w:val="24"/>
                <w:shd w:val="clear" w:fill="FFFFFF"/>
                <w:lang w:val="es-MX"/>
              </w:rPr>
              <w:t>.</w:t>
            </w:r>
          </w:p>
          <w:p w14:paraId="54825A3B"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hint="default" w:ascii="Arial" w:hAnsi="Arial" w:eastAsia="Helvetica" w:cs="Arial"/>
                <w:b/>
                <w:bCs/>
                <w:i w:val="0"/>
                <w:iCs w:val="0"/>
                <w:color w:val="111111"/>
                <w:spacing w:val="0"/>
                <w:sz w:val="24"/>
                <w:szCs w:val="24"/>
                <w:shd w:val="clear" w:fill="FFFFFF"/>
                <w:lang w:val="es-MX"/>
              </w:rPr>
              <w:t xml:space="preserve">Se le proporciono la explanada de la Casa de la Cultura a la Dirección de Desarrollo Social para la repartición de sus Despensas que mes con mes la requieren. </w:t>
            </w:r>
          </w:p>
          <w:p w14:paraId="4E88D987">
            <w:pPr>
              <w:pStyle w:val="8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hint="default" w:ascii="Arial" w:hAnsi="Arial" w:cs="Arial"/>
                <w:b/>
                <w:sz w:val="24"/>
                <w:szCs w:val="24"/>
                <w:lang w:val="es-MX"/>
              </w:rPr>
              <w:t>Se le presto a la CETMAR las Instalaciones de la Casa de la Cultura para llevar a cabo El Concurso Estatal de Canto, y de Pintura y Fotografía.</w:t>
            </w:r>
          </w:p>
        </w:tc>
      </w:tr>
    </w:tbl>
    <w:p w14:paraId="426EB27D">
      <w:pPr>
        <w:rPr>
          <w:rFonts w:ascii="Arial" w:hAnsi="Arial" w:cs="Arial"/>
          <w:sz w:val="24"/>
          <w:szCs w:val="24"/>
        </w:rPr>
      </w:pPr>
    </w:p>
    <w:p w14:paraId="2E0EA888">
      <w:pPr>
        <w:rPr>
          <w:rFonts w:ascii="Arial" w:hAnsi="Arial" w:cs="Arial"/>
          <w:sz w:val="24"/>
          <w:szCs w:val="24"/>
        </w:rPr>
      </w:pPr>
    </w:p>
    <w:p w14:paraId="707DD8E0">
      <w:pPr>
        <w:rPr>
          <w:rFonts w:ascii="Arial" w:hAnsi="Arial" w:cs="Arial"/>
          <w:sz w:val="24"/>
          <w:szCs w:val="24"/>
        </w:rPr>
      </w:pPr>
    </w:p>
    <w:p w14:paraId="0EB586AF">
      <w:pPr>
        <w:rPr>
          <w:rFonts w:ascii="Arial" w:hAnsi="Arial" w:cs="Arial"/>
          <w:sz w:val="24"/>
          <w:szCs w:val="24"/>
        </w:rPr>
      </w:pPr>
    </w:p>
    <w:tbl>
      <w:tblPr>
        <w:tblStyle w:val="7"/>
        <w:tblW w:w="137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7"/>
        <w:gridCol w:w="2204"/>
        <w:gridCol w:w="2201"/>
        <w:gridCol w:w="3538"/>
        <w:gridCol w:w="3462"/>
        <w:gridCol w:w="1783"/>
      </w:tblGrid>
      <w:tr w14:paraId="3CB7B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745" w:type="dxa"/>
            <w:gridSpan w:val="6"/>
            <w:shd w:val="clear" w:color="auto" w:fill="2E75B5" w:themeFill="accent1" w:themeFillShade="BF"/>
            <w:vAlign w:val="center"/>
          </w:tcPr>
          <w:p w14:paraId="291BEA91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>ACCIONES O ACTIVIADES REALIZADAS</w:t>
            </w:r>
          </w:p>
        </w:tc>
      </w:tr>
      <w:tr w14:paraId="703B1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dxa"/>
            <w:shd w:val="clear" w:color="auto" w:fill="2E75B5" w:themeFill="accent1" w:themeFillShade="BF"/>
            <w:vAlign w:val="center"/>
          </w:tcPr>
          <w:p w14:paraId="62524F4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>No</w:t>
            </w:r>
          </w:p>
        </w:tc>
        <w:tc>
          <w:tcPr>
            <w:tcW w:w="2204" w:type="dxa"/>
            <w:shd w:val="clear" w:color="auto" w:fill="2E75B5" w:themeFill="accent1" w:themeFillShade="BF"/>
            <w:vAlign w:val="center"/>
          </w:tcPr>
          <w:p w14:paraId="249D0FD0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>NOMBRE DE LA ACTIVIDAD, PROGRAMA, OBRA O ACCIÓN REALIZADA</w:t>
            </w:r>
          </w:p>
        </w:tc>
        <w:tc>
          <w:tcPr>
            <w:tcW w:w="2201" w:type="dxa"/>
            <w:shd w:val="clear" w:color="auto" w:fill="2E75B5" w:themeFill="accent1" w:themeFillShade="BF"/>
            <w:vAlign w:val="center"/>
          </w:tcPr>
          <w:p w14:paraId="2E7C55A3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>LUGAR DONDE SE LLEVÓ A CABO (COLONIA, COMISARÍA, PARQUE, ETC)</w:t>
            </w:r>
          </w:p>
        </w:tc>
        <w:tc>
          <w:tcPr>
            <w:tcW w:w="3538" w:type="dxa"/>
            <w:shd w:val="clear" w:color="auto" w:fill="2E75B5" w:themeFill="accent1" w:themeFillShade="BF"/>
            <w:vAlign w:val="center"/>
          </w:tcPr>
          <w:p w14:paraId="4D1505D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 xml:space="preserve">DESCRIPCIÓN DEL PROPÓSITO, OBJETIVO O FINALIDAD </w:t>
            </w:r>
          </w:p>
          <w:p w14:paraId="24B94AA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>(POR QUÉ SE REALIZÓ)</w:t>
            </w:r>
          </w:p>
        </w:tc>
        <w:tc>
          <w:tcPr>
            <w:tcW w:w="3462" w:type="dxa"/>
            <w:shd w:val="clear" w:color="auto" w:fill="2E75B5" w:themeFill="accent1" w:themeFillShade="BF"/>
            <w:vAlign w:val="center"/>
          </w:tcPr>
          <w:p w14:paraId="59DFDF6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>RESULTADO OBTENIDO</w:t>
            </w:r>
          </w:p>
        </w:tc>
        <w:tc>
          <w:tcPr>
            <w:tcW w:w="1783" w:type="dxa"/>
            <w:shd w:val="clear" w:color="auto" w:fill="2E75B5" w:themeFill="accent1" w:themeFillShade="BF"/>
            <w:vAlign w:val="center"/>
          </w:tcPr>
          <w:p w14:paraId="75BFB64B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4"/>
                <w14:textFill>
                  <w14:solidFill>
                    <w14:schemeClr w14:val="bg1"/>
                  </w14:solidFill>
                </w14:textFill>
              </w:rPr>
              <w:t>CANTIDAD Y TIPO DE BENEFICIARIOS</w:t>
            </w:r>
          </w:p>
        </w:tc>
      </w:tr>
      <w:tr w14:paraId="6A9B1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dxa"/>
            <w:vAlign w:val="center"/>
          </w:tcPr>
          <w:p w14:paraId="6552D3D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69BD6DA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1940227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</w:p>
          <w:p w14:paraId="0505296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5365E3B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5A92D3E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Noches de Danzón</w:t>
            </w:r>
          </w:p>
        </w:tc>
        <w:tc>
          <w:tcPr>
            <w:tcW w:w="2201" w:type="dxa"/>
            <w:vAlign w:val="center"/>
          </w:tcPr>
          <w:p w14:paraId="2CC6BAAB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Parque Morelos</w:t>
            </w:r>
          </w:p>
        </w:tc>
        <w:tc>
          <w:tcPr>
            <w:tcW w:w="3538" w:type="dxa"/>
            <w:vAlign w:val="center"/>
          </w:tcPr>
          <w:p w14:paraId="51B9ACE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Se llevó a cabo  </w:t>
            </w: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4</w:t>
            </w:r>
            <w:r>
              <w:rPr>
                <w:rFonts w:ascii="Arial" w:hAnsi="Arial" w:cs="Arial"/>
                <w:sz w:val="20"/>
                <w:szCs w:val="24"/>
              </w:rPr>
              <w:t xml:space="preserve"> ediciones, con el objetivo de realizar un espacio recreativo con música, donde también pueden encontrar antojitos y venta con los emprendedores </w:t>
            </w:r>
          </w:p>
        </w:tc>
        <w:tc>
          <w:tcPr>
            <w:tcW w:w="3462" w:type="dxa"/>
            <w:vAlign w:val="center"/>
          </w:tcPr>
          <w:p w14:paraId="0D54E3AE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Recreación y esparcimiento para personas de la tercera edad y familias progreseñas </w:t>
            </w:r>
          </w:p>
        </w:tc>
        <w:tc>
          <w:tcPr>
            <w:tcW w:w="1783" w:type="dxa"/>
            <w:vAlign w:val="center"/>
          </w:tcPr>
          <w:p w14:paraId="3E5B1B6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12</w:t>
            </w:r>
            <w:r>
              <w:rPr>
                <w:rFonts w:ascii="Arial" w:hAnsi="Arial" w:cs="Arial"/>
                <w:sz w:val="20"/>
                <w:szCs w:val="24"/>
              </w:rPr>
              <w:t>00 personas</w:t>
            </w:r>
          </w:p>
        </w:tc>
      </w:tr>
      <w:tr w14:paraId="2DE5F4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dxa"/>
            <w:vAlign w:val="center"/>
          </w:tcPr>
          <w:p w14:paraId="262F460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2204" w:type="dxa"/>
            <w:vAlign w:val="center"/>
          </w:tcPr>
          <w:p w14:paraId="43BED89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Talleres de la Casa de la Cultura</w:t>
            </w:r>
          </w:p>
        </w:tc>
        <w:tc>
          <w:tcPr>
            <w:tcW w:w="2201" w:type="dxa"/>
            <w:vAlign w:val="center"/>
          </w:tcPr>
          <w:p w14:paraId="335EEF6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Realizar las clases de los diferentes talleres de la Casa de la Cultura</w:t>
            </w:r>
          </w:p>
        </w:tc>
        <w:tc>
          <w:tcPr>
            <w:tcW w:w="3538" w:type="dxa"/>
            <w:vAlign w:val="center"/>
          </w:tcPr>
          <w:p w14:paraId="25B3CD6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Con el objetivo de ofrecer un espacio con diferentes disciplinas culturales y artísticas se impartes talleres en la Casa de la Cultura, donde se les enseña las bases para iniciar su formación artística </w:t>
            </w:r>
          </w:p>
        </w:tc>
        <w:tc>
          <w:tcPr>
            <w:tcW w:w="3462" w:type="dxa"/>
            <w:vAlign w:val="center"/>
          </w:tcPr>
          <w:p w14:paraId="535C2E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Asistencia de niños, jóvenes y adultos</w:t>
            </w:r>
          </w:p>
        </w:tc>
        <w:tc>
          <w:tcPr>
            <w:tcW w:w="1783" w:type="dxa"/>
            <w:vAlign w:val="center"/>
          </w:tcPr>
          <w:p w14:paraId="6B8F603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215</w:t>
            </w:r>
            <w:r>
              <w:rPr>
                <w:rFonts w:ascii="Arial" w:hAnsi="Arial" w:cs="Arial"/>
                <w:sz w:val="20"/>
                <w:szCs w:val="24"/>
              </w:rPr>
              <w:t xml:space="preserve"> personas</w:t>
            </w:r>
          </w:p>
        </w:tc>
      </w:tr>
      <w:tr w14:paraId="224C3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dxa"/>
            <w:vAlign w:val="center"/>
          </w:tcPr>
          <w:p w14:paraId="1B6AC88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</w:t>
            </w:r>
          </w:p>
        </w:tc>
        <w:tc>
          <w:tcPr>
            <w:tcW w:w="2204" w:type="dxa"/>
            <w:vAlign w:val="center"/>
          </w:tcPr>
          <w:p w14:paraId="7C8F4D01">
            <w:pPr>
              <w:spacing w:after="0" w:line="240" w:lineRule="auto"/>
              <w:jc w:val="center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 xml:space="preserve">Quema del Mal Humor </w:t>
            </w:r>
          </w:p>
        </w:tc>
        <w:tc>
          <w:tcPr>
            <w:tcW w:w="2201" w:type="dxa"/>
            <w:vAlign w:val="center"/>
          </w:tcPr>
          <w:p w14:paraId="7174D573">
            <w:pPr>
              <w:spacing w:after="0" w:line="240" w:lineRule="auto"/>
              <w:jc w:val="both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Bajos del Palacio</w:t>
            </w:r>
          </w:p>
        </w:tc>
        <w:tc>
          <w:tcPr>
            <w:tcW w:w="3538" w:type="dxa"/>
            <w:vAlign w:val="center"/>
          </w:tcPr>
          <w:p w14:paraId="415C19F5">
            <w:pPr>
              <w:pStyle w:val="8"/>
              <w:numPr>
                <w:ilvl w:val="0"/>
                <w:numId w:val="0"/>
              </w:numPr>
              <w:spacing w:after="160"/>
              <w:jc w:val="both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La Dirección de Cultura estuvo a cargo de la Organización y Coordinación del opening del evento de la quema del Mal humor.</w:t>
            </w:r>
          </w:p>
        </w:tc>
        <w:tc>
          <w:tcPr>
            <w:tcW w:w="3462" w:type="dxa"/>
            <w:vAlign w:val="center"/>
          </w:tcPr>
          <w:p w14:paraId="4246C81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Asistencia de niños, jóvenes y adultos</w:t>
            </w:r>
          </w:p>
        </w:tc>
        <w:tc>
          <w:tcPr>
            <w:tcW w:w="1783" w:type="dxa"/>
            <w:vAlign w:val="center"/>
          </w:tcPr>
          <w:p w14:paraId="7A0BB2E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500</w:t>
            </w:r>
            <w:r>
              <w:rPr>
                <w:rFonts w:ascii="Arial" w:hAnsi="Arial" w:cs="Arial"/>
                <w:sz w:val="20"/>
                <w:szCs w:val="24"/>
              </w:rPr>
              <w:t xml:space="preserve"> personas</w:t>
            </w:r>
          </w:p>
        </w:tc>
      </w:tr>
      <w:tr w14:paraId="56782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dxa"/>
            <w:vAlign w:val="center"/>
          </w:tcPr>
          <w:p w14:paraId="56B6EFED">
            <w:pPr>
              <w:spacing w:after="0" w:line="240" w:lineRule="auto"/>
              <w:jc w:val="both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5</w:t>
            </w:r>
          </w:p>
        </w:tc>
        <w:tc>
          <w:tcPr>
            <w:tcW w:w="2204" w:type="dxa"/>
            <w:vAlign w:val="center"/>
          </w:tcPr>
          <w:p w14:paraId="6EA31021">
            <w:pPr>
              <w:spacing w:after="0" w:line="240" w:lineRule="auto"/>
              <w:jc w:val="center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Concurso de Comparsas 2026</w:t>
            </w:r>
          </w:p>
        </w:tc>
        <w:tc>
          <w:tcPr>
            <w:tcW w:w="2201" w:type="dxa"/>
            <w:vAlign w:val="center"/>
          </w:tcPr>
          <w:p w14:paraId="0F7C0B94">
            <w:pPr>
              <w:spacing w:after="0" w:line="240" w:lineRule="auto"/>
              <w:jc w:val="both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Explanada de la Casa de la Cultura</w:t>
            </w:r>
          </w:p>
        </w:tc>
        <w:tc>
          <w:tcPr>
            <w:tcW w:w="3538" w:type="dxa"/>
            <w:vAlign w:val="center"/>
          </w:tcPr>
          <w:p w14:paraId="6E5E34FD">
            <w:pPr>
              <w:pStyle w:val="8"/>
              <w:numPr>
                <w:ilvl w:val="0"/>
                <w:numId w:val="0"/>
              </w:numPr>
              <w:spacing w:after="160"/>
              <w:jc w:val="both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Se llevó a cabo el concurso de comparsas la cual participararón 4 comparsas de municipios cercanos y de progreso. Se premiaron 1°, 2° y 3° lugar.</w:t>
            </w:r>
          </w:p>
        </w:tc>
        <w:tc>
          <w:tcPr>
            <w:tcW w:w="3462" w:type="dxa"/>
            <w:vAlign w:val="center"/>
          </w:tcPr>
          <w:p w14:paraId="1051D6D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Asistencia de niños, jóvenes y adultos</w:t>
            </w:r>
          </w:p>
        </w:tc>
        <w:tc>
          <w:tcPr>
            <w:tcW w:w="1783" w:type="dxa"/>
            <w:vAlign w:val="center"/>
          </w:tcPr>
          <w:p w14:paraId="155F7C1C">
            <w:pPr>
              <w:spacing w:after="0" w:line="240" w:lineRule="auto"/>
              <w:jc w:val="center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800 personas</w:t>
            </w:r>
          </w:p>
        </w:tc>
      </w:tr>
      <w:tr w14:paraId="51843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dxa"/>
            <w:vAlign w:val="center"/>
          </w:tcPr>
          <w:p w14:paraId="13B2D037">
            <w:pPr>
              <w:spacing w:after="0" w:line="240" w:lineRule="auto"/>
              <w:jc w:val="both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6</w:t>
            </w:r>
          </w:p>
        </w:tc>
        <w:tc>
          <w:tcPr>
            <w:tcW w:w="2204" w:type="dxa"/>
            <w:vAlign w:val="center"/>
          </w:tcPr>
          <w:p w14:paraId="785C0A62">
            <w:pPr>
              <w:spacing w:after="0" w:line="240" w:lineRule="auto"/>
              <w:jc w:val="center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Noche Regional</w:t>
            </w:r>
          </w:p>
        </w:tc>
        <w:tc>
          <w:tcPr>
            <w:tcW w:w="2201" w:type="dxa"/>
            <w:vAlign w:val="center"/>
          </w:tcPr>
          <w:p w14:paraId="71449495">
            <w:pPr>
              <w:spacing w:after="0" w:line="240" w:lineRule="auto"/>
              <w:jc w:val="both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Expalanada de la Casa de la Cultura</w:t>
            </w:r>
          </w:p>
        </w:tc>
        <w:tc>
          <w:tcPr>
            <w:tcW w:w="3538" w:type="dxa"/>
            <w:vAlign w:val="center"/>
          </w:tcPr>
          <w:p w14:paraId="79B241EA">
            <w:pPr>
              <w:pStyle w:val="8"/>
              <w:numPr>
                <w:ilvl w:val="0"/>
                <w:numId w:val="0"/>
              </w:numPr>
              <w:spacing w:after="160"/>
              <w:jc w:val="both"/>
              <w:rPr>
                <w:rFonts w:hint="default" w:ascii="Arial" w:hAnsi="Arial" w:cs="Arial"/>
                <w:sz w:val="20"/>
                <w:szCs w:val="24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eastAsia="es-MX"/>
              </w:rPr>
              <w:t>Se llevó a cabo entre jaranas, la quema del torito y el Show Regional</w:t>
            </w:r>
            <w:r>
              <w:rPr>
                <w:rFonts w:hint="default" w:ascii="Arial" w:hAnsi="Arial" w:cs="Arial"/>
                <w:sz w:val="20"/>
                <w:szCs w:val="20"/>
                <w:lang w:val="en-US" w:eastAsia="es-MX"/>
              </w:rPr>
              <w:t xml:space="preserve"> de 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“</w:t>
            </w:r>
            <w:r>
              <w:rPr>
                <w:rFonts w:hint="default" w:ascii="Arial" w:hAnsi="Arial" w:cs="Arial"/>
                <w:sz w:val="20"/>
                <w:szCs w:val="20"/>
                <w:lang w:val="en-US" w:eastAsia="es-MX"/>
              </w:rPr>
              <w:t>Dzereco y Nohoch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”, La Vaquería Regional del Carnaval Progreso 202</w:t>
            </w:r>
            <w:r>
              <w:rPr>
                <w:rFonts w:hint="default" w:ascii="Arial" w:hAnsi="Arial" w:cs="Arial"/>
                <w:sz w:val="20"/>
                <w:szCs w:val="20"/>
                <w:lang w:val="en-US" w:eastAsia="es-MX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 xml:space="preserve">. Con la Participación de la Orquesta </w:t>
            </w:r>
            <w:r>
              <w:rPr>
                <w:rFonts w:hint="default" w:ascii="Arial" w:hAnsi="Arial" w:cs="Arial"/>
                <w:sz w:val="20"/>
                <w:szCs w:val="20"/>
                <w:lang w:val="en-US" w:eastAsia="es-MX"/>
              </w:rPr>
              <w:t>Victoría.</w:t>
            </w:r>
          </w:p>
        </w:tc>
        <w:tc>
          <w:tcPr>
            <w:tcW w:w="3462" w:type="dxa"/>
            <w:vAlign w:val="center"/>
          </w:tcPr>
          <w:p w14:paraId="5CD5B1C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Asistencia de niños, jóvenes y adultos</w:t>
            </w:r>
          </w:p>
        </w:tc>
        <w:tc>
          <w:tcPr>
            <w:tcW w:w="1783" w:type="dxa"/>
            <w:vAlign w:val="center"/>
          </w:tcPr>
          <w:p w14:paraId="41ED75E6">
            <w:pPr>
              <w:spacing w:after="0" w:line="240" w:lineRule="auto"/>
              <w:jc w:val="center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1000 personas</w:t>
            </w:r>
          </w:p>
        </w:tc>
      </w:tr>
      <w:tr w14:paraId="56863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dxa"/>
            <w:vAlign w:val="center"/>
          </w:tcPr>
          <w:p w14:paraId="6DD295AC">
            <w:pPr>
              <w:spacing w:after="0" w:line="240" w:lineRule="auto"/>
              <w:jc w:val="both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7</w:t>
            </w:r>
          </w:p>
        </w:tc>
        <w:tc>
          <w:tcPr>
            <w:tcW w:w="2204" w:type="dxa"/>
            <w:vAlign w:val="center"/>
          </w:tcPr>
          <w:p w14:paraId="78BE3773">
            <w:pPr>
              <w:spacing w:after="0" w:line="240" w:lineRule="auto"/>
              <w:jc w:val="center"/>
              <w:rPr>
                <w:rFonts w:hint="default" w:ascii="Arial" w:hAnsi="Arial" w:cs="Arial"/>
                <w:b/>
                <w:bCs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Exposición Píctorica “</w:t>
            </w:r>
            <w:r>
              <w:rPr>
                <w:rFonts w:hint="default" w:ascii="Arial" w:hAnsi="Arial" w:cs="Arial"/>
                <w:b/>
                <w:bCs/>
                <w:sz w:val="20"/>
                <w:szCs w:val="24"/>
                <w:lang w:val="es-MX"/>
              </w:rPr>
              <w:t>CON LOS COLORES EN LA SANGRE”</w:t>
            </w:r>
          </w:p>
        </w:tc>
        <w:tc>
          <w:tcPr>
            <w:tcW w:w="2201" w:type="dxa"/>
            <w:vAlign w:val="center"/>
          </w:tcPr>
          <w:p w14:paraId="1D7DA160">
            <w:pPr>
              <w:spacing w:after="0" w:line="240" w:lineRule="auto"/>
              <w:jc w:val="both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Galería de Arte “Alfredo Novelo Ceballos”</w:t>
            </w:r>
          </w:p>
        </w:tc>
        <w:tc>
          <w:tcPr>
            <w:tcW w:w="3538" w:type="dxa"/>
            <w:vAlign w:val="center"/>
          </w:tcPr>
          <w:p w14:paraId="460E8692">
            <w:pPr>
              <w:pStyle w:val="8"/>
              <w:numPr>
                <w:ilvl w:val="0"/>
                <w:numId w:val="0"/>
              </w:numPr>
              <w:spacing w:after="160"/>
              <w:jc w:val="both"/>
              <w:rPr>
                <w:rFonts w:hint="default" w:ascii="Arial" w:hAnsi="Arial" w:cs="Arial"/>
                <w:sz w:val="20"/>
                <w:szCs w:val="20"/>
                <w:lang w:val="en-US" w:eastAsia="es-MX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es-MX"/>
              </w:rPr>
              <w:t xml:space="preserve">Se llevo a cabo la exposición “Con los Colores en la Sangre” con la Participación del Colectivo de la Región de la Peninsula. </w:t>
            </w:r>
          </w:p>
        </w:tc>
        <w:tc>
          <w:tcPr>
            <w:tcW w:w="3462" w:type="dxa"/>
            <w:vAlign w:val="center"/>
          </w:tcPr>
          <w:p w14:paraId="7C1ED7B3">
            <w:pPr>
              <w:spacing w:after="0" w:line="240" w:lineRule="auto"/>
              <w:jc w:val="center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Público en General</w:t>
            </w:r>
          </w:p>
        </w:tc>
        <w:tc>
          <w:tcPr>
            <w:tcW w:w="1783" w:type="dxa"/>
            <w:vAlign w:val="center"/>
          </w:tcPr>
          <w:p w14:paraId="469A2B9A">
            <w:pPr>
              <w:spacing w:after="0" w:line="240" w:lineRule="auto"/>
              <w:jc w:val="center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100 Personas</w:t>
            </w:r>
          </w:p>
        </w:tc>
      </w:tr>
      <w:tr w14:paraId="69E92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57" w:type="dxa"/>
            <w:vAlign w:val="center"/>
          </w:tcPr>
          <w:p w14:paraId="27BCCD4F">
            <w:pPr>
              <w:spacing w:after="0" w:line="240" w:lineRule="auto"/>
              <w:jc w:val="both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8</w:t>
            </w:r>
          </w:p>
        </w:tc>
        <w:tc>
          <w:tcPr>
            <w:tcW w:w="2204" w:type="dxa"/>
            <w:vAlign w:val="center"/>
          </w:tcPr>
          <w:p w14:paraId="5744EF8B">
            <w:pPr>
              <w:spacing w:after="0" w:line="240" w:lineRule="auto"/>
              <w:jc w:val="center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Festejo del Año Chino</w:t>
            </w:r>
          </w:p>
          <w:p w14:paraId="7BFD864A">
            <w:pPr>
              <w:spacing w:after="0" w:line="240" w:lineRule="auto"/>
              <w:jc w:val="center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b/>
                <w:bCs/>
                <w:sz w:val="20"/>
                <w:szCs w:val="24"/>
                <w:lang w:val="es-MX"/>
              </w:rPr>
              <w:t>Caballo de Fuego”</w:t>
            </w:r>
          </w:p>
        </w:tc>
        <w:tc>
          <w:tcPr>
            <w:tcW w:w="2201" w:type="dxa"/>
            <w:vAlign w:val="center"/>
          </w:tcPr>
          <w:p w14:paraId="616F7B2D">
            <w:pPr>
              <w:spacing w:after="0" w:line="240" w:lineRule="auto"/>
              <w:jc w:val="both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Expanada de la Casa de la Cultura”</w:t>
            </w:r>
          </w:p>
        </w:tc>
        <w:tc>
          <w:tcPr>
            <w:tcW w:w="3538" w:type="dxa"/>
            <w:vAlign w:val="center"/>
          </w:tcPr>
          <w:p w14:paraId="291E9842">
            <w:pPr>
              <w:pStyle w:val="8"/>
              <w:numPr>
                <w:ilvl w:val="0"/>
                <w:numId w:val="0"/>
              </w:numPr>
              <w:spacing w:after="160"/>
              <w:jc w:val="both"/>
              <w:rPr>
                <w:rFonts w:hint="default" w:ascii="Arial" w:hAnsi="Arial" w:cs="Arial"/>
                <w:sz w:val="20"/>
                <w:szCs w:val="20"/>
                <w:lang w:val="en-US" w:eastAsia="es-MX"/>
              </w:rPr>
            </w:pPr>
            <w:r>
              <w:rPr>
                <w:rFonts w:hint="default" w:ascii="Arial" w:hAnsi="Arial" w:cs="Arial"/>
                <w:sz w:val="20"/>
                <w:szCs w:val="20"/>
                <w:lang w:val="en-US" w:eastAsia="es-MX"/>
              </w:rPr>
              <w:t>Exhibición de Taichi</w:t>
            </w:r>
          </w:p>
        </w:tc>
        <w:tc>
          <w:tcPr>
            <w:tcW w:w="3462" w:type="dxa"/>
            <w:vAlign w:val="center"/>
          </w:tcPr>
          <w:p w14:paraId="45837A06">
            <w:pPr>
              <w:spacing w:after="0" w:line="240" w:lineRule="auto"/>
              <w:jc w:val="center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Público General</w:t>
            </w:r>
          </w:p>
        </w:tc>
        <w:tc>
          <w:tcPr>
            <w:tcW w:w="1783" w:type="dxa"/>
            <w:vAlign w:val="center"/>
          </w:tcPr>
          <w:p w14:paraId="5DAFEEDA">
            <w:pPr>
              <w:spacing w:after="0" w:line="240" w:lineRule="auto"/>
              <w:jc w:val="center"/>
              <w:rPr>
                <w:rFonts w:hint="default" w:ascii="Arial" w:hAnsi="Arial" w:cs="Arial"/>
                <w:sz w:val="20"/>
                <w:szCs w:val="24"/>
                <w:lang w:val="es-MX"/>
              </w:rPr>
            </w:pPr>
            <w:r>
              <w:rPr>
                <w:rFonts w:hint="default" w:ascii="Arial" w:hAnsi="Arial" w:cs="Arial"/>
                <w:sz w:val="20"/>
                <w:szCs w:val="24"/>
                <w:lang w:val="es-MX"/>
              </w:rPr>
              <w:t>60 personas</w:t>
            </w:r>
          </w:p>
        </w:tc>
      </w:tr>
    </w:tbl>
    <w:p w14:paraId="72D804CA">
      <w:pPr>
        <w:rPr>
          <w:rFonts w:ascii="Arial" w:hAnsi="Arial" w:cs="Arial"/>
          <w:sz w:val="24"/>
          <w:szCs w:val="24"/>
        </w:rPr>
      </w:pPr>
    </w:p>
    <w:p w14:paraId="03BE0C43">
      <w:pPr>
        <w:rPr>
          <w:rFonts w:ascii="Arial" w:hAnsi="Arial" w:cs="Arial"/>
          <w:sz w:val="24"/>
          <w:szCs w:val="24"/>
        </w:rPr>
      </w:pPr>
    </w:p>
    <w:p w14:paraId="5B2162F0">
      <w:pPr>
        <w:rPr>
          <w:rFonts w:ascii="Arial" w:hAnsi="Arial" w:cs="Arial"/>
          <w:sz w:val="24"/>
          <w:szCs w:val="24"/>
        </w:rPr>
      </w:pPr>
    </w:p>
    <w:p w14:paraId="74E39EAC">
      <w:pPr>
        <w:rPr>
          <w:rFonts w:ascii="Arial" w:hAnsi="Arial" w:cs="Arial"/>
          <w:sz w:val="24"/>
          <w:szCs w:val="24"/>
        </w:rPr>
      </w:pPr>
    </w:p>
    <w:p w14:paraId="7E952DAE">
      <w:pPr>
        <w:rPr>
          <w:rFonts w:ascii="Arial" w:hAnsi="Arial" w:cs="Arial"/>
          <w:sz w:val="24"/>
          <w:szCs w:val="24"/>
        </w:rPr>
      </w:pPr>
    </w:p>
    <w:tbl>
      <w:tblPr>
        <w:tblStyle w:val="7"/>
        <w:tblW w:w="14034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4"/>
      </w:tblGrid>
      <w:tr w14:paraId="0ADEE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34" w:type="dxa"/>
            <w:shd w:val="clear" w:color="auto" w:fill="2E75B5" w:themeFill="accent1" w:themeFillShade="BF"/>
            <w:vAlign w:val="center"/>
          </w:tcPr>
          <w:p w14:paraId="59D42125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ASUNTOS PENDIENTES Y ACCIONES INMEDIATAS</w:t>
            </w:r>
          </w:p>
        </w:tc>
      </w:tr>
      <w:tr w14:paraId="6E52C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9" w:hRule="atLeast"/>
        </w:trPr>
        <w:tc>
          <w:tcPr>
            <w:tcW w:w="14034" w:type="dxa"/>
            <w:vAlign w:val="center"/>
          </w:tcPr>
          <w:p w14:paraId="07149D12">
            <w:pPr>
              <w:pStyle w:val="8"/>
              <w:numPr>
                <w:numId w:val="0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14E196A3">
            <w:pPr>
              <w:pStyle w:val="8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MX"/>
              </w:rPr>
              <w:t>Organización de Futuras Exposiciones Para la Galería Alfredo Novelo Ceballos.</w:t>
            </w:r>
          </w:p>
          <w:p w14:paraId="1726C78B">
            <w:pPr>
              <w:pStyle w:val="8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hint="default" w:ascii="Arial" w:hAnsi="Arial" w:cs="Arial"/>
                <w:sz w:val="24"/>
                <w:szCs w:val="24"/>
                <w:lang w:val="es-MX"/>
              </w:rPr>
              <w:t>Aniversario de la Casa de la Cultura 31 Años.</w:t>
            </w:r>
          </w:p>
        </w:tc>
      </w:tr>
    </w:tbl>
    <w:p w14:paraId="2D01A4D9">
      <w:pPr>
        <w:jc w:val="center"/>
        <w:rPr>
          <w:rFonts w:ascii="Arial" w:hAnsi="Arial" w:cs="Arial"/>
          <w:sz w:val="24"/>
          <w:szCs w:val="24"/>
        </w:rPr>
      </w:pPr>
    </w:p>
    <w:p w14:paraId="6D0AF2E8">
      <w:pPr>
        <w:jc w:val="center"/>
        <w:rPr>
          <w:rFonts w:ascii="Arial" w:hAnsi="Arial" w:cs="Arial"/>
          <w:sz w:val="24"/>
          <w:szCs w:val="24"/>
        </w:rPr>
      </w:pPr>
    </w:p>
    <w:p w14:paraId="484C8E09">
      <w:pPr>
        <w:jc w:val="center"/>
        <w:rPr>
          <w:rFonts w:ascii="Arial" w:hAnsi="Arial" w:cs="Arial"/>
          <w:b/>
          <w:szCs w:val="24"/>
          <w:lang w:val="fr-FR"/>
        </w:rPr>
      </w:pPr>
      <w:r>
        <w:rPr>
          <w:rFonts w:ascii="Arial" w:hAnsi="Arial" w:cs="Arial"/>
          <w:b/>
          <w:szCs w:val="24"/>
          <w:lang w:val="fr-FR"/>
        </w:rPr>
        <w:t xml:space="preserve">A T E N T A M E N T E </w:t>
      </w:r>
    </w:p>
    <w:p w14:paraId="1F00D8B1">
      <w:pPr>
        <w:jc w:val="center"/>
        <w:rPr>
          <w:rFonts w:ascii="Arial" w:hAnsi="Arial" w:cs="Arial"/>
          <w:b/>
          <w:szCs w:val="24"/>
          <w:lang w:val="fr-FR"/>
        </w:rPr>
      </w:pPr>
    </w:p>
    <w:p w14:paraId="5C4B3367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_____________________________________________ </w:t>
      </w:r>
    </w:p>
    <w:p w14:paraId="1CED8F0D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L.E. CRUZ DAVID CHAN MARTÍNES</w:t>
      </w:r>
    </w:p>
    <w:p w14:paraId="0FACD790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DIRECTOR DE CULTURA</w:t>
      </w:r>
    </w:p>
    <w:p w14:paraId="69ACBF08">
      <w:pPr>
        <w:spacing w:after="0" w:line="240" w:lineRule="auto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H. AYUNTAMIENTO DE PROGRESO 2024 -2027</w:t>
      </w:r>
    </w:p>
    <w:p w14:paraId="31C2E69E">
      <w:pPr>
        <w:spacing w:after="0" w:line="240" w:lineRule="auto"/>
        <w:jc w:val="center"/>
        <w:rPr>
          <w:rFonts w:ascii="Arial" w:hAnsi="Arial" w:cs="Arial"/>
          <w:b/>
          <w:szCs w:val="24"/>
        </w:rPr>
      </w:pPr>
    </w:p>
    <w:p w14:paraId="078BF1EC">
      <w:pPr>
        <w:spacing w:after="0" w:line="240" w:lineRule="auto"/>
        <w:jc w:val="center"/>
        <w:rPr>
          <w:rFonts w:ascii="Arial" w:hAnsi="Arial" w:cs="Arial"/>
          <w:b/>
          <w:szCs w:val="24"/>
        </w:rPr>
      </w:pPr>
    </w:p>
    <w:sectPr>
      <w:headerReference r:id="rId5" w:type="default"/>
      <w:pgSz w:w="15840" w:h="12240" w:orient="landscape"/>
      <w:pgMar w:top="1701" w:right="1417" w:bottom="1134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A14936">
    <w:pPr>
      <w:jc w:val="center"/>
      <w:rPr>
        <w:sz w:val="20"/>
      </w:rPr>
    </w:pPr>
    <w:r>
      <w:rPr>
        <w:sz w:val="32"/>
        <w:lang w:eastAsia="es-MX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-642620</wp:posOffset>
          </wp:positionH>
          <wp:positionV relativeFrom="topMargin">
            <wp:posOffset>200025</wp:posOffset>
          </wp:positionV>
          <wp:extent cx="2223770" cy="723900"/>
          <wp:effectExtent l="0" t="0" r="5715" b="0"/>
          <wp:wrapNone/>
          <wp:docPr id="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23712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53A79BD"/>
    <w:multiLevelType w:val="multilevel"/>
    <w:tmpl w:val="753A79BD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1B49D7"/>
    <w:multiLevelType w:val="multilevel"/>
    <w:tmpl w:val="761B49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08"/>
  <w:hyphenationZone w:val="425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C75"/>
    <w:rsid w:val="00005ECB"/>
    <w:rsid w:val="0005612A"/>
    <w:rsid w:val="00060D20"/>
    <w:rsid w:val="000B3CAA"/>
    <w:rsid w:val="000B6692"/>
    <w:rsid w:val="000C3D6F"/>
    <w:rsid w:val="001623ED"/>
    <w:rsid w:val="00164E7B"/>
    <w:rsid w:val="001B22B3"/>
    <w:rsid w:val="001B2778"/>
    <w:rsid w:val="001C65B8"/>
    <w:rsid w:val="001D308F"/>
    <w:rsid w:val="00226CAA"/>
    <w:rsid w:val="0031359B"/>
    <w:rsid w:val="003255CE"/>
    <w:rsid w:val="00372D76"/>
    <w:rsid w:val="003B02FE"/>
    <w:rsid w:val="003B58CA"/>
    <w:rsid w:val="00450A01"/>
    <w:rsid w:val="00454C75"/>
    <w:rsid w:val="004829DB"/>
    <w:rsid w:val="004A45E5"/>
    <w:rsid w:val="004D1BF8"/>
    <w:rsid w:val="00506E35"/>
    <w:rsid w:val="005F2D76"/>
    <w:rsid w:val="006254DE"/>
    <w:rsid w:val="00635959"/>
    <w:rsid w:val="006D36AF"/>
    <w:rsid w:val="00730A2E"/>
    <w:rsid w:val="00796586"/>
    <w:rsid w:val="008301F3"/>
    <w:rsid w:val="008A1843"/>
    <w:rsid w:val="0090553D"/>
    <w:rsid w:val="0093029D"/>
    <w:rsid w:val="00966A86"/>
    <w:rsid w:val="00994B41"/>
    <w:rsid w:val="009A487E"/>
    <w:rsid w:val="009B052A"/>
    <w:rsid w:val="009B5587"/>
    <w:rsid w:val="00A35D6B"/>
    <w:rsid w:val="00A64F9B"/>
    <w:rsid w:val="00B47D98"/>
    <w:rsid w:val="00B66FA1"/>
    <w:rsid w:val="00BB21AD"/>
    <w:rsid w:val="00C2707E"/>
    <w:rsid w:val="00C401A1"/>
    <w:rsid w:val="00C554B0"/>
    <w:rsid w:val="00C60A4D"/>
    <w:rsid w:val="00C72349"/>
    <w:rsid w:val="00C82032"/>
    <w:rsid w:val="00C86A7C"/>
    <w:rsid w:val="00C93A8F"/>
    <w:rsid w:val="00CD0B90"/>
    <w:rsid w:val="00CE7483"/>
    <w:rsid w:val="00D17723"/>
    <w:rsid w:val="00D85B80"/>
    <w:rsid w:val="00DA259C"/>
    <w:rsid w:val="00DC6E16"/>
    <w:rsid w:val="00E17461"/>
    <w:rsid w:val="00E33048"/>
    <w:rsid w:val="00F651F9"/>
    <w:rsid w:val="0898788E"/>
    <w:rsid w:val="0A076580"/>
    <w:rsid w:val="1B08420A"/>
    <w:rsid w:val="1DC16EE0"/>
    <w:rsid w:val="27046C92"/>
    <w:rsid w:val="5C8C5B7F"/>
    <w:rsid w:val="6A0E5FE5"/>
    <w:rsid w:val="6D5C3EB9"/>
    <w:rsid w:val="750A0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s-MX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419"/>
        <w:tab w:val="right" w:pos="8838"/>
      </w:tabs>
      <w:spacing w:after="0" w:line="240" w:lineRule="auto"/>
    </w:pPr>
  </w:style>
  <w:style w:type="table" w:styleId="7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left="720"/>
      <w:contextualSpacing/>
    </w:pPr>
  </w:style>
  <w:style w:type="character" w:customStyle="1" w:styleId="9">
    <w:name w:val="Texto de globo Car"/>
    <w:basedOn w:val="2"/>
    <w:link w:val="4"/>
    <w:semiHidden/>
    <w:qFormat/>
    <w:uiPriority w:val="99"/>
    <w:rPr>
      <w:rFonts w:ascii="Segoe UI" w:hAnsi="Segoe UI" w:cs="Segoe UI"/>
      <w:sz w:val="18"/>
      <w:szCs w:val="18"/>
    </w:rPr>
  </w:style>
  <w:style w:type="character" w:customStyle="1" w:styleId="10">
    <w:name w:val="Encabezado Car"/>
    <w:basedOn w:val="2"/>
    <w:link w:val="5"/>
    <w:uiPriority w:val="99"/>
  </w:style>
  <w:style w:type="character" w:customStyle="1" w:styleId="11">
    <w:name w:val="Pie de página Car"/>
    <w:basedOn w:val="2"/>
    <w:link w:val="6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F3F37-D70F-4EE2-8997-069833E255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726</Words>
  <Characters>3999</Characters>
  <Lines>33</Lines>
  <Paragraphs>9</Paragraphs>
  <TotalTime>8</TotalTime>
  <ScaleCrop>false</ScaleCrop>
  <LinksUpToDate>false</LinksUpToDate>
  <CharactersWithSpaces>4716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2024-10-17T20:58:00Z</dcterms:created>
  <dc:creator>Soporte</dc:creator>
  <cp:lastModifiedBy>Pc</cp:lastModifiedBy>
  <cp:lastPrinted>2026-02-26T16:02:57Z</cp:lastPrinted>
  <dcterms:modified xsi:type="dcterms:W3CDTF">2026-02-26T16:17:32Z</dcterms:modified>
  <cp:revision>89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2058-12.2.0.23196</vt:lpwstr>
  </property>
  <property fmtid="{D5CDD505-2E9C-101B-9397-08002B2CF9AE}" pid="3" name="ICV">
    <vt:lpwstr>BE160407598B4F52A0217169E4A6EFD3_12</vt:lpwstr>
  </property>
</Properties>
</file>